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4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0"/>
        <w:jc w:val="center"/>
        <w:spacing w:after="0" w:line="240" w:lineRule="auto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  <w:lang w:eastAsia="ru-RU"/>
        </w:rPr>
        <w:t xml:space="preserve">ПАСПОРТ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00"/>
        <w:jc w:val="center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муниципальной программы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Белоярского района </w:t>
      </w:r>
      <w:r>
        <w:rPr>
          <w:rFonts w:ascii="Times New Roman" w:hAnsi="Times New Roman"/>
          <w:bCs/>
          <w:sz w:val="24"/>
          <w:szCs w:val="24"/>
          <w:lang w:eastAsia="ru-RU"/>
        </w:rPr>
      </w:r>
      <w:r>
        <w:rPr>
          <w:rFonts w:ascii="Times New Roman" w:hAnsi="Times New Roman"/>
          <w:bCs/>
          <w:sz w:val="24"/>
          <w:szCs w:val="24"/>
          <w:lang w:eastAsia="ru-RU"/>
        </w:rPr>
      </w:r>
    </w:p>
    <w:p>
      <w:pPr>
        <w:pStyle w:val="700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объектах»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4"/>
        <w:jc w:val="center"/>
        <w:spacing w:line="276" w:lineRule="auto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0"/>
        <w:jc w:val="center"/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1. Основные положения</w:t>
      </w:r>
      <w:r>
        <w:rPr>
          <w:rFonts w:ascii="Times New Roman" w:hAnsi="Times New Roman"/>
          <w:sz w:val="24"/>
          <w:szCs w:val="24"/>
          <w:lang w:val="en-US"/>
        </w:rPr>
      </w:r>
      <w:r>
        <w:rPr>
          <w:rFonts w:ascii="Times New Roman" w:hAnsi="Times New Roman"/>
          <w:sz w:val="24"/>
          <w:szCs w:val="24"/>
          <w:lang w:val="en-US"/>
        </w:rPr>
      </w:r>
    </w:p>
    <w:tbl>
      <w:tblPr>
        <w:tblW w:w="15310" w:type="dxa"/>
        <w:tblInd w:w="-85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575"/>
        <w:gridCol w:w="773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75" w:type="dxa"/>
            <w:vAlign w:val="top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Куратор муниципальной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5" w:type="dxa"/>
            <w:vAlign w:val="bottom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Первый заместитель главы Белоярского района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75" w:type="dxa"/>
            <w:vAlign w:val="top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исполнитель муниципальной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5" w:type="dxa"/>
            <w:vAlign w:val="bottom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Отдел по делам гражданской обороны и чрезвычайным ситуациям администрации Белоярского района (далее – отдел ГО и ЧС)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75" w:type="dxa"/>
            <w:vAlign w:val="top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Период реализации муниципальной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5" w:type="dxa"/>
            <w:vAlign w:val="bottom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color w:val="000000"/>
                <w:lang w:val="en-US" w:eastAsia="zh-CN" w:bidi="ar"/>
              </w:rPr>
              <w:t xml:space="preserve">2025-2030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 годы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8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75" w:type="dxa"/>
            <w:vAlign w:val="top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Цели муниципальной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5" w:type="dxa"/>
            <w:vAlign w:val="top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SimSu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Цель 1 «Повышение уровня защиты населения и территории Белоярского района от угроз природного, техногенного  характера и пожарной безопасности»;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</w:p>
          <w:p>
            <w:pPr>
              <w:pStyle w:val="700"/>
              <w:spacing w:after="0" w:line="240" w:lineRule="auto"/>
              <w:rPr>
                <w:rFonts w:ascii="Times New Roman" w:hAnsi="Times New Roman" w:eastAsia="SimSu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Цель 2 «Обеспечение безопасности населения Белоярского района в местах массового отдыха на водных объектах»;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</w:p>
          <w:p>
            <w:pPr>
              <w:pStyle w:val="70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color w:val="000000"/>
                <w:lang w:eastAsia="zh-CN"/>
              </w:rPr>
              <w:t xml:space="preserve">Цель 3 «Создание условий для осуществления эффективной деятельности муниципального казенного учреждения «Единая дежурно-диспетчерская служба Белоярского района».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75" w:type="dxa"/>
            <w:vAlign w:val="top"/>
            <w:vMerge w:val="restart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Направления (подпрограммы) муниципальной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5" w:type="dxa"/>
            <w:vAlign w:val="top"/>
            <w:vMerge w:val="restart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-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</w:tr>
      <w:tr>
        <w:tblPrEx/>
        <w:trPr>
          <w:trHeight w:val="3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75" w:type="dxa"/>
            <w:vAlign w:val="top"/>
            <w:vMerge w:val="restart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 финансового обеспечения за весь период реализации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5" w:type="dxa"/>
            <w:vAlign w:val="top"/>
            <w:vMerge w:val="restart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153 775,9 </w:t>
            </w:r>
            <w:r>
              <w:rPr>
                <w:rFonts w:ascii="Times New Roman" w:hAnsi="Times New Roman"/>
              </w:rPr>
              <w:t xml:space="preserve">тысяч рублей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3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75" w:type="dxa"/>
            <w:vAlign w:val="top"/>
            <w:vMerge w:val="restart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5" w:type="dxa"/>
            <w:vAlign w:val="top"/>
            <w:vMerge w:val="restart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Государственная программа Ханты-Мансийского автономного округа - Югры «Безопасность жизнедеятельности и профилактика правонарушений»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70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700"/>
        <w:spacing w:after="0" w:line="240" w:lineRule="auto"/>
        <w:rPr>
          <w:rFonts w:ascii="Times New Roman" w:hAnsi="Times New Roman"/>
        </w:rPr>
        <w:sectPr>
          <w:headerReference w:type="default" r:id="rId8"/>
          <w:footnotePr/>
          <w:endnotePr/>
          <w:type w:val="nextPage"/>
          <w:pgSz w:w="16838" w:h="11906" w:orient="landscape"/>
          <w:pgMar w:top="1701" w:right="1134" w:bottom="850" w:left="1574" w:header="708" w:footer="708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00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Показатели муниципальной программы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00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15244" w:type="dxa"/>
        <w:tblInd w:w="-861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6"/>
        <w:gridCol w:w="2697"/>
        <w:gridCol w:w="1113"/>
        <w:gridCol w:w="1037"/>
        <w:gridCol w:w="673"/>
        <w:gridCol w:w="644"/>
        <w:gridCol w:w="644"/>
        <w:gridCol w:w="644"/>
        <w:gridCol w:w="644"/>
        <w:gridCol w:w="644"/>
        <w:gridCol w:w="644"/>
        <w:gridCol w:w="2160"/>
        <w:gridCol w:w="1627"/>
        <w:gridCol w:w="1558"/>
        <w:gridCol w:w="9"/>
      </w:tblGrid>
      <w:tr>
        <w:tblPrEx/>
        <w:trPr>
          <w:gridAfter w:val="1"/>
          <w:trHeight w:val="38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7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3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Единица измерения (по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ОКЕИ) 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Значение показателя по годам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0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Документ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W w:w="1627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58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"/>
          <w:trHeight w:val="54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vMerge w:val="continue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7" w:type="dxa"/>
            <w:vAlign w:val="center"/>
            <w:vMerge w:val="continue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3" w:type="dxa"/>
            <w:vAlign w:val="center"/>
            <w:vMerge w:val="continue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0" w:type="dxa"/>
            <w:vAlign w:val="center"/>
            <w:vMerge w:val="continue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Times New Roman"/>
                <w:color w:val="0000ff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color w:val="0000ff"/>
                <w:sz w:val="18"/>
                <w:szCs w:val="18"/>
                <w:u w:val="single"/>
                <w:lang w:eastAsia="ru-RU"/>
              </w:rPr>
            </w:r>
            <w:r>
              <w:rPr>
                <w:rFonts w:ascii="Times New Roman" w:hAnsi="Times New Roman" w:eastAsia="Times New Roman"/>
                <w:color w:val="0000ff"/>
                <w:sz w:val="18"/>
                <w:szCs w:val="18"/>
                <w:u w:val="single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58" w:type="dxa"/>
            <w:vAlign w:val="center"/>
            <w:vMerge w:val="continue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"/>
          <w:trHeight w:val="31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7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3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0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1627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4" w:type="dxa"/>
            <w:vAlign w:val="center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Цель 1 «Повышение уровня защиты населения и территории Белоярского района от угроз природного, техногенного  характера и пожарной безопасности».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7" w:type="dxa"/>
            <w:vAlign w:val="center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Обеспеченность резервами (запасами) материальных ресурсов для ликвидации последствий чрезвычайных ситуаций и в целях гражданской обороны, от установленных норм обеспечения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3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процент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100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100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100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100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100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100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100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0" w:type="dxa"/>
            <w:vAlign w:val="center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Постановление администрации Белоярского района №1300 от 22.09.2014 года «О создании резервов материальных ресурсов (запасов) Белоярского района для ликвидации чрезвычайных ситуаций муниципального характера и в целях гражданской обороны»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отдел ГО и ЧС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r>
          </w:p>
        </w:tc>
      </w:tr>
      <w:tr>
        <w:tblPrEx/>
        <w:trPr>
          <w:gridAfter w:val="1"/>
          <w:trHeight w:val="15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2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7" w:type="dxa"/>
            <w:vAlign w:val="center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Доля населения Белоярского района прошедшего обучение в области гражданской обороны, защиты от чрезвычайных ситуаций природного и техногенного характера и пожарной безопасности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3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процент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93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94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95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95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96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96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97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0" w:type="dxa"/>
            <w:vAlign w:val="center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Методические рекомендации по сбору и обмену информацией в области гражданской обороны (утверждены  МЧС России  от 17.06.2016 № 2-4-71-34-11)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отдел ГО и ЧС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3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7" w:type="dxa"/>
            <w:vAlign w:val="center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Количество населенных пунктов, в которых</w:t>
            </w:r>
            <w:r>
              <w:rPr>
                <w:rFonts w:ascii="Times New Roman" w:hAnsi="Times New Roman" w:eastAsia="SimSun"/>
                <w:color w:val="ff0000"/>
                <w:sz w:val="18"/>
                <w:szCs w:val="18"/>
                <w:lang w:eastAsia="zh-CN" w:bidi="ar"/>
              </w:rPr>
              <w:t xml:space="preserve"> </w:t>
            </w:r>
            <w:r>
              <w:rPr>
                <w:rFonts w:ascii="Times New Roman" w:hAnsi="Times New Roman" w:eastAsia="SimSun"/>
                <w:sz w:val="18"/>
                <w:szCs w:val="18"/>
                <w:lang w:eastAsia="zh-CN" w:bidi="ar"/>
              </w:rPr>
              <w:t xml:space="preserve">проведены </w:t>
            </w: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противоэпидемиологические мероприятия по снижению численности кровососущих комаров и барьерной дератизации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3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единиц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7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7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7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7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7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7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7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0" w:type="dxa"/>
            <w:vAlign w:val="center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Зак</w:t>
            </w: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он ХМАО - Югры от 23.12.2016 №102-оз «О наделении органов местного самоуправления муниципальных образований ХМАО - Югры отдельными государственными полномочиями по организации осуществлении мероприятий по проведению дезинсекции и дератизации в ХМАО - Югре»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1627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отдел ГО и ЧС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r>
          </w:p>
        </w:tc>
      </w:tr>
      <w:tr>
        <w:tblPrEx/>
        <w:trPr>
          <w:trHeight w:val="315"/>
        </w:trPr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4" w:type="dxa"/>
            <w:vAlign w:val="center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Цель 2 «Обеспечение безопасности населения Белоярского района в местах массового отдыха на водных объектах»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7" w:type="dxa"/>
            <w:vAlign w:val="center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Количество происшествий в период работы городского пляжа озера Нешинелор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3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единиц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2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hint="eastAsia" w:ascii="SimSun" w:hAnsi="SimSun" w:eastAsia="SimSun" w:cs="SimSun"/>
                <w:color w:val="000000"/>
                <w:sz w:val="18"/>
                <w:szCs w:val="18"/>
                <w:lang w:eastAsia="zh-CN" w:bidi="ar"/>
              </w:rPr>
              <w:t xml:space="preserve">≦</w:t>
            </w: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hint="eastAsia" w:ascii="SimSun" w:hAnsi="SimSun" w:eastAsia="SimSun" w:cs="SimSun"/>
                <w:color w:val="000000"/>
                <w:sz w:val="18"/>
                <w:szCs w:val="18"/>
                <w:lang w:eastAsia="zh-CN" w:bidi="ar"/>
              </w:rPr>
              <w:t xml:space="preserve">≦</w:t>
            </w: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hint="eastAsia" w:ascii="SimSun" w:hAnsi="SimSun" w:eastAsia="SimSun" w:cs="SimSun"/>
                <w:color w:val="000000"/>
                <w:sz w:val="18"/>
                <w:szCs w:val="18"/>
                <w:lang w:eastAsia="zh-CN" w:bidi="ar"/>
              </w:rPr>
              <w:t xml:space="preserve">≦</w:t>
            </w: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hint="eastAsia" w:ascii="SimSun" w:hAnsi="SimSun" w:eastAsia="SimSun" w:cs="SimSun"/>
                <w:color w:val="000000"/>
                <w:sz w:val="18"/>
                <w:szCs w:val="18"/>
                <w:lang w:eastAsia="zh-CN" w:bidi="ar"/>
              </w:rPr>
              <w:t xml:space="preserve">≦</w:t>
            </w: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hint="eastAsia" w:ascii="SimSun" w:hAnsi="SimSun" w:eastAsia="SimSun" w:cs="SimSun"/>
                <w:color w:val="000000"/>
                <w:sz w:val="18"/>
                <w:szCs w:val="18"/>
                <w:lang w:eastAsia="zh-CN" w:bidi="ar"/>
              </w:rPr>
              <w:t xml:space="preserve">≦</w:t>
            </w: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hint="eastAsia" w:ascii="SimSun" w:hAnsi="SimSun" w:eastAsia="SimSun" w:cs="SimSun"/>
                <w:color w:val="000000"/>
                <w:sz w:val="18"/>
                <w:szCs w:val="18"/>
                <w:lang w:eastAsia="zh-CN" w:bidi="ar"/>
              </w:rPr>
              <w:t xml:space="preserve">≦</w:t>
            </w: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0" w:type="dxa"/>
            <w:vAlign w:val="top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Постановление Правительства Российской Федерации от 29.04.1995 №444 «О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характера»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отдел ГО и ЧС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r>
          </w:p>
        </w:tc>
      </w:tr>
      <w:tr>
        <w:tblPrEx/>
        <w:trPr>
          <w:trHeight w:val="315"/>
        </w:trPr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4" w:type="dxa"/>
            <w:vAlign w:val="center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  <w:t xml:space="preserve">Цель 3 «Создание условий для осуществления эффективной деятельности муниципального казенного учреждения «Единая дежурно-диспетчерская служба Белоярского района»».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"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7" w:type="dxa"/>
            <w:vAlign w:val="center"/>
            <w:textDirection w:val="lrTb"/>
            <w:noWrap w:val="false"/>
          </w:tcPr>
          <w:p>
            <w:pPr>
              <w:pStyle w:val="700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eastAsia="zh-CN" w:bidi="ar"/>
              </w:rPr>
              <w:t xml:space="preserve">Оценочные показатели реагирования на возможные чрезвычайные ситуации в соответствии с Уставом муниципального казенного учреждения «Единая дежурно-диспетчерская служба Белоярского района»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3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балл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0" w:type="dxa"/>
            <w:vAlign w:val="center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 w:eastAsia="SimSu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sz w:val="18"/>
                <w:szCs w:val="18"/>
                <w:lang w:eastAsia="ru-RU"/>
              </w:rPr>
              <w:t xml:space="preserve">Приказ Росстандарта от 27.01.2021 № 25-ст</w:t>
            </w:r>
            <w:r>
              <w:rPr>
                <w:rFonts w:ascii="Times New Roman" w:hAnsi="Times New Roman" w:eastAsia="SimSu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SimSun"/>
                <w:sz w:val="18"/>
                <w:szCs w:val="18"/>
                <w:lang w:eastAsia="ru-RU"/>
              </w:rPr>
            </w:r>
          </w:p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sz w:val="18"/>
                <w:szCs w:val="18"/>
                <w:lang w:eastAsia="ru-RU"/>
              </w:rPr>
              <w:t xml:space="preserve">«Об утверждении национального стандарта Российской Федерации» (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ГОСТ          Р 22.7.01-2021 «Безопасность в чрезвычайных ситуациях. Единая дежурно-диспетчерская служба. Основные положения»)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SimSun"/>
                <w:color w:val="000000"/>
                <w:sz w:val="18"/>
                <w:szCs w:val="18"/>
                <w:lang w:val="en-US" w:eastAsia="zh-CN" w:bidi="ar"/>
              </w:rPr>
              <w:t xml:space="preserve">отдел ГО и ЧС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en-US" w:eastAsia="ru-RU"/>
              </w:rPr>
            </w:r>
          </w:p>
        </w:tc>
      </w:tr>
    </w:tbl>
    <w:p>
      <w:pPr>
        <w:pStyle w:val="700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700"/>
        <w:jc w:val="center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3. Структура муниципальной программы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700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15311" w:type="dxa"/>
        <w:tblInd w:w="-85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80"/>
        <w:gridCol w:w="4140"/>
        <w:gridCol w:w="6120"/>
        <w:gridCol w:w="4371"/>
      </w:tblGrid>
      <w:tr>
        <w:tblPrEx/>
        <w:trPr>
          <w:trHeight w:val="71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/>
          </w:tcPr>
          <w:p>
            <w:pPr>
              <w:pStyle w:val="70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№</w:t>
            </w:r>
            <w:r>
              <w:rPr>
                <w:rFonts w:ascii="Times New Roman" w:hAnsi="Times New Roman" w:eastAsia="SimSun"/>
                <w:color w:val="000000"/>
                <w:lang w:val="en-US" w:eastAsia="zh-CN" w:bidi="ar"/>
              </w:rPr>
              <w:t xml:space="preserve"> п/п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center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val="en-US" w:eastAsia="zh-CN" w:bidi="ar"/>
              </w:rPr>
              <w:t xml:space="preserve">Задачи структурного элемента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0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Краткое описание ожидаемых эффектов от реализации задачи структурного элемента  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71" w:type="dxa"/>
            <w:vAlign w:val="center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val="en-US" w:eastAsia="zh-CN" w:bidi="ar"/>
              </w:rPr>
              <w:t xml:space="preserve">Связь с показателями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blPrEx/>
        <w:trPr>
          <w:trHeight w:val="3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bottom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val="en-US" w:eastAsia="zh-CN" w:bidi="ar"/>
              </w:rPr>
              <w:t xml:space="preserve">1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bottom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val="en-US" w:eastAsia="zh-CN" w:bidi="ar"/>
              </w:rPr>
              <w:t xml:space="preserve">2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0" w:type="dxa"/>
            <w:vAlign w:val="bottom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val="en-US" w:eastAsia="zh-CN" w:bidi="ar"/>
              </w:rPr>
              <w:t xml:space="preserve">3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71" w:type="dxa"/>
            <w:vAlign w:val="bottom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val="en-US" w:eastAsia="zh-CN" w:bidi="ar"/>
              </w:rPr>
              <w:t xml:space="preserve">4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val="en-US" w:eastAsia="zh-CN" w:bidi="ar"/>
              </w:rPr>
              <w:t xml:space="preserve">1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1" w:type="dxa"/>
            <w:vAlign w:val="top"/>
            <w:textDirection w:val="lrTb"/>
            <w:noWrap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Комплекс процессных мероприятий «Обеспечение первичных мер пожарной безопасности в границах городского поселения Белоярский»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 w:eastAsia="SimSu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Ответственный за реализацию: 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</w:p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отдел ГО и ЧС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0" w:type="dxa"/>
            <w:vAlign w:val="top"/>
            <w:textDirection w:val="lrTb"/>
            <w:noWrap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val="en-US" w:eastAsia="zh-CN" w:bidi="ar"/>
              </w:rPr>
              <w:t xml:space="preserve">Срок реализации: 2025-2030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71" w:type="dxa"/>
            <w:vAlign w:val="top"/>
            <w:textDirection w:val="lrTb"/>
            <w:noWrap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</w:tr>
      <w:tr>
        <w:tblPrEx/>
        <w:trPr>
          <w:trHeight w:val="10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 xml:space="preserve">1.1</w:t>
            </w: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Противопожарная пропаганда и обучение населения городского поселения Белоярский мерам пожарной безопасности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0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lang w:eastAsia="zh-CN" w:bidi="ar"/>
              </w:rPr>
              <w:t xml:space="preserve">организовано оповещение и информирование населения об опасностях, возникающих при пожарах;</w:t>
              <w:br w:type="textWrapping" w:clear="all"/>
              <w:t xml:space="preserve">реализованы мероприятия по обучению населения правилам поведения, основным способам защиты и действиям при пожарах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71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Доля населения Белоярского района прошедшего обучение в области гражданской обороны, защиты от чрезвычайных ситуаций природного и техногенного характера и пожарной безопасности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blPrEx/>
        <w:trPr>
          <w:trHeight w:val="5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2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1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lang w:eastAsia="zh-CN" w:bidi="ar"/>
              </w:rPr>
              <w:t xml:space="preserve">Комплекс процессных мероприятий «Пополнение и обеспечение сохранности созданных резервов (запасов) материальных ресурсов для предупреждения и ликвидации последствий чрезвычайных ситуаций природного и техногенного характера и в целях гражданской обороны»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 w:eastAsia="SimSu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Ответственный за реализацию: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</w:p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 отдел ГО и ЧС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0" w:type="dxa"/>
            <w:vAlign w:val="top"/>
            <w:textDirection w:val="lrTb"/>
            <w:noWrap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lang w:val="en-US" w:eastAsia="zh-CN" w:bidi="ar"/>
              </w:rPr>
              <w:t xml:space="preserve">Срок реализации: 2025-2030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71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</w:tr>
      <w:tr>
        <w:tblPrEx/>
        <w:trPr>
          <w:trHeight w:val="11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ff0000"/>
              </w:rPr>
              <w:t xml:space="preserve">2.1</w:t>
            </w:r>
            <w:r>
              <w:rPr>
                <w:rFonts w:ascii="Times New Roman" w:hAnsi="Times New Roman"/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Обеспечение материально-техническими средствами, предназначенными для предупреждения и ликвидации последствий чрезвычайных ситуаций природного и техногенного характера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0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lang w:eastAsia="zh-CN" w:bidi="ar"/>
              </w:rPr>
              <w:t xml:space="preserve">реализованы мероприятия по формированию резервов материальных ресурсов (запасов) в целях экстренного привлечения необходимых средств в случае возникновения чрезвычайных ситуаций природного и техногенного характера и в целях гражданской обороны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71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Обеспеченность резервами (запасами) материальных ресурсов для предупреждения и ликвидации последствий чрезвычайных ситуаций природного и техногенного характера и в целях гражданской обороны, от установленных норм обеспечения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blPrEx/>
        <w:trPr>
          <w:trHeight w:val="4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3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1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Комплекс процессных мероприятий «Мероприятия по гражданской обороне и защите населения Белоярского района от чрезвычайных ситуаций природного и техногенного характера»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 w:eastAsia="SimSu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Ответственный за реализацию: 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</w:p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отдел ГО и ЧС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0" w:type="dxa"/>
            <w:vAlign w:val="top"/>
            <w:textDirection w:val="lrTb"/>
            <w:noWrap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val="en-US" w:eastAsia="zh-CN" w:bidi="ar"/>
              </w:rPr>
              <w:t xml:space="preserve">Срок реализации: 2025-2030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71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</w:tr>
      <w:tr>
        <w:tblPrEx/>
        <w:trPr>
          <w:trHeight w:val="17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 xml:space="preserve">3.1</w:t>
            </w: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Повышение эффективности мер защиты населения Белоярского района от чрезвычайных ситуаций природного и техногенного характера, а также в целях гражданской обороны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0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lang w:eastAsia="zh-CN" w:bidi="ar"/>
              </w:rPr>
              <w:t xml:space="preserve">реализованы мероприятия 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по повышению уровня навыков применения правил поведения, основным способам защиты и действиям в чрезвычайных ситуациях природного и техногенного характера, приемам оказания первой помощи п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острадавшим, правилам пользования коллективными и индивидуальными средствами защиты при подготовке населения в области гражданской обороны и защиты населения от чрезвычайных ситуаций риродного и техногенного характера путем обучения, повышения квалификации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71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Доля населения Белоярского района прошедшего обучение в области гражданской обороны, защиты от чрезвычайных ситуаций природного и техногенного характера и пожарной безопасности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4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1" w:type="dxa"/>
            <w:vAlign w:val="top"/>
            <w:textDirection w:val="lrTb"/>
            <w:noWrap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Комплекс процессных мероприятий «Организация осуществления мероприятий по проведению дезинсекции и дератизации»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 w:eastAsia="SimSu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Ответственный за реализацию: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</w:p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 отдел ГО и ЧС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0" w:type="dxa"/>
            <w:vAlign w:val="top"/>
            <w:textDirection w:val="lrTb"/>
            <w:noWrap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val="en-US" w:eastAsia="zh-CN" w:bidi="ar"/>
              </w:rPr>
              <w:t xml:space="preserve">Срок реализации: 2025-2030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71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</w:tr>
      <w:tr>
        <w:tblPrEx/>
        <w:trPr>
          <w:trHeight w:val="10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 xml:space="preserve">4.1</w:t>
            </w: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Обеспечение санитарно-эпидемиологического благополучия населения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0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lang w:eastAsia="zh-CN" w:bidi="ar"/>
              </w:rPr>
              <w:t xml:space="preserve">реализованы мероприятия 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по проведению дезинсекции и дератизации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71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Количество населенных пунктов, в которых </w:t>
            </w:r>
            <w:r>
              <w:rPr>
                <w:rFonts w:ascii="Times New Roman" w:hAnsi="Times New Roman" w:eastAsia="SimSun"/>
                <w:lang w:eastAsia="zh-CN" w:bidi="ar"/>
              </w:rPr>
              <w:t xml:space="preserve">проведены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  противоэпидемиологические мероприятия по снижению численности кровососущих комаров и барьерной дератизации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5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1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Комплекс процессных мероприятий «Обеспечение безопасности людей на водных объектах»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 w:eastAsia="SimSu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Ответственный за реализацию: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</w:p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отдел ГО и ЧС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0" w:type="dxa"/>
            <w:vAlign w:val="top"/>
            <w:textDirection w:val="lrTb"/>
            <w:noWrap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val="en-US" w:eastAsia="zh-CN" w:bidi="ar"/>
              </w:rPr>
              <w:t xml:space="preserve">Срок реализации: 2025-2030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71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</w:tr>
      <w:tr>
        <w:tblPrEx/>
        <w:trPr>
          <w:trHeight w:val="1920"/>
        </w:trPr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 xml:space="preserve">5.1</w:t>
            </w: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Повышение эффективности принимаемых мер направленных на обеспечение безопасности населения на городском пляже озера </w:t>
            </w:r>
            <w:r>
              <w:rPr>
                <w:rFonts w:ascii="Times New Roman" w:hAnsi="Times New Roman" w:eastAsia="SimSun"/>
                <w:lang w:eastAsia="zh-CN" w:bidi="ar"/>
              </w:rPr>
              <w:t xml:space="preserve">Нешинелор г.п.</w:t>
            </w:r>
            <w:r>
              <w:rPr>
                <w:rFonts w:ascii="Times New Roman" w:hAnsi="Times New Roman" w:eastAsia="SimSun"/>
                <w:color w:val="ff0000"/>
                <w:lang w:eastAsia="zh-CN" w:bidi="ar"/>
              </w:rPr>
              <w:t xml:space="preserve"> 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Белоярский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120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lang w:eastAsia="zh-CN" w:bidi="ar"/>
              </w:rPr>
              <w:t xml:space="preserve">реализованы мероприятия по развитию системы защищенности населения и обеспечения 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безопасности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 на водных объектах, в том числе:</w:t>
              <w:br/>
              <w:t xml:space="preserve">- организация пляжей, обозначение границ купания ограждающими буйками;</w:t>
              <w:br/>
              <w:t xml:space="preserve">- проведение очистки дна акватории пляжа;</w:t>
              <w:br/>
              <w:t xml:space="preserve">- организация спасательного поста;</w:t>
              <w:br/>
              <w:t xml:space="preserve">- организация дежурства спасателей;</w:t>
              <w:br/>
              <w:t xml:space="preserve">- организация информирования населения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71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Количество происшествий в период работы городского пляжа озера Нешинелор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6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631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Комплекс процессных мероприятий «Создание условий для осуществления эффективной деятельности муниципального казенного учреждения «Единая дежурно-диспетчерская служба Белоярского района»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40" w:type="dxa"/>
            <w:vAlign w:val="top"/>
            <w:textDirection w:val="lrTb"/>
            <w:noWrap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 w:eastAsia="SimSu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Ответственный за реализацию: 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</w:r>
          </w:p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отдел ГО и ЧС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120" w:type="dxa"/>
            <w:vAlign w:val="top"/>
            <w:textDirection w:val="lrTb"/>
            <w:noWrap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val="en-US" w:eastAsia="zh-CN" w:bidi="ar"/>
              </w:rPr>
              <w:t xml:space="preserve">Срок реализации: 2025-2030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71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</w:tr>
      <w:tr>
        <w:tblPrEx/>
        <w:trPr>
          <w:trHeight w:val="1307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80" w:type="dxa"/>
            <w:vAlign w:val="top"/>
            <w:textDirection w:val="lrTb"/>
            <w:noWrap/>
          </w:tcPr>
          <w:p>
            <w:pPr>
              <w:pStyle w:val="700"/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6.1</w:t>
            </w:r>
            <w:r>
              <w:rPr>
                <w:rFonts w:ascii="Times New Roman" w:hAnsi="Times New Roman"/>
                <w:color w:val="ff0000"/>
              </w:rPr>
            </w:r>
            <w:r>
              <w:rPr>
                <w:rFonts w:ascii="Times New Roman" w:hAnsi="Times New Roman"/>
                <w:color w:val="ff0000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Обеспечение деятельности МКУ «Единая дежурно-диспетчерская служба Белоярского района»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120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Создание условий для функционирования единой государственной системы предупреждения и ликвидации чрезвычайных ситуаций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71" w:type="dxa"/>
            <w:vAlign w:val="top"/>
            <w:textDirection w:val="lrTb"/>
            <w:noWrap w:val="false"/>
          </w:tcPr>
          <w:p>
            <w:pPr>
              <w:pStyle w:val="700"/>
              <w:jc w:val="both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Оценочные показатели реагирования на возможные чрезвычайные ситуации в соответствии с Уставом муниципального казенного учреждения «Единая дежурно-диспетчерская служба Белоярского района»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</w:tbl>
    <w:p>
      <w:pPr>
        <w:pStyle w:val="700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00"/>
        <w:jc w:val="center"/>
        <w:pageBreakBefore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 Финансовое обеспечение муниципальной программы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4691"/>
        <w:gridCol w:w="1257"/>
        <w:gridCol w:w="1257"/>
        <w:gridCol w:w="1257"/>
        <w:gridCol w:w="1257"/>
        <w:gridCol w:w="1257"/>
        <w:gridCol w:w="1257"/>
        <w:gridCol w:w="1257"/>
      </w:tblGrid>
      <w:tr>
        <w:tblPrEx/>
        <w:trPr>
          <w:trHeight w:val="4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№ 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/>
          </w:p>
        </w:tc>
        <w:tc>
          <w:tcPr>
            <w:gridSpan w:val="7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7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финансового обеспечения по годам, тыс. рублей</w:t>
            </w:r>
            <w:r/>
          </w:p>
        </w:tc>
      </w:tr>
      <w:tr>
        <w:tblPrEx/>
        <w:trPr>
          <w:trHeight w:val="345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2025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2026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2027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2028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2029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2030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Всего</w:t>
            </w:r>
            <w:r/>
          </w:p>
        </w:tc>
      </w:tr>
      <w:tr>
        <w:tblPrEx/>
        <w:trPr>
          <w:trHeight w:val="300"/>
          <w:tblHeader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</w:t>
            </w:r>
            <w:r/>
          </w:p>
        </w:tc>
      </w:tr>
      <w:tr>
        <w:tblPrEx/>
        <w:trPr>
          <w:trHeight w:val="97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bottom"/>
            <w:vMerge w:val="restart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«Защита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26 224,9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25 730,6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25 432,0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25 462,8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25 462,8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25 462,8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153 775,9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3 627,6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25 620,3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25 126,0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24 827,4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24 858,2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24 858,2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24 858,2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150 148,3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налоговых расходов Белоярского района (справочно)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73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«Обеспечение первичных мер пожарной безопасности в границах городского поселения Белоярский»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60,0</w:t>
            </w:r>
            <w:r/>
          </w:p>
        </w:tc>
      </w:tr>
      <w:tr>
        <w:tblPrEx/>
        <w:trPr>
          <w:trHeight w:val="422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«Проведена противопожарная пропаганда и обучение населения городского поселения Белоярский мерам пожарной безопасности»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60,0</w:t>
            </w:r>
            <w:r/>
          </w:p>
        </w:tc>
      </w:tr>
      <w:tr>
        <w:tblPrEx/>
        <w:trPr>
          <w:trHeight w:val="121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«Пополнение и обеспечение сохранности  созданных резервов (запасов) материальных ресурсов для предупреждения и ликвидации последствий чрезвычайных ситуаций природного и техногенного характера и в целях гражданской обороны» (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всего)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1 290,3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1 007,0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5 243,7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1 290,3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1 007,0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5 243,7</w:t>
            </w:r>
            <w:r/>
          </w:p>
        </w:tc>
      </w:tr>
      <w:tr>
        <w:tblPrEx/>
        <w:trPr>
          <w:trHeight w:val="73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«Обеспечение сохранности созданных резервов для ликвидации последствий чрезвычайных ситуаций природного и техногенного характера и в целях гражданской обороны»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708,3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4 391,3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708,3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4 391,3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2.2.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«Пополнение резервов (запасов) материальных ресурсов для ликвидации последствий чрезвычайных ситуаций природного и техногенного характера и в целях гражданской обороны»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582,0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270,4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852,4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582,0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270,4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852,4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«Мероприятия по гражданской обороне и защите населения Белоярского района от чрезвычайных ситуаций природного и техногенного характера»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2 096,4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2 096,4</w:t>
            </w:r>
            <w:r/>
          </w:p>
        </w:tc>
      </w:tr>
      <w:tr>
        <w:tblPrEx/>
        <w:trPr>
          <w:trHeight w:val="54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«Организация осуществления мероприятий по проведению дезинсекции и дератизации»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3 627,6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3 627,6</w:t>
            </w:r>
            <w:r/>
          </w:p>
        </w:tc>
      </w:tr>
      <w:tr>
        <w:tblPrEx/>
        <w:trPr>
          <w:trHeight w:val="37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«Обеспечение безопасности людей на водных объектах»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407,4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2 119,4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407,4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2 119,4</w:t>
            </w:r>
            <w:r/>
          </w:p>
        </w:tc>
      </w:tr>
      <w:tr>
        <w:tblPrEx/>
        <w:trPr>
          <w:trHeight w:val="73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«Создание условий для осуществления эффективной деятельности муниципального казенного учреждения «Единая дежурно-диспетчерская служба Белоярского района» (всего), в 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23 620,2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23 343,8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23 393,1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23 423,9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23 423,9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23 423,9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140 628,8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23 620,2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23 343,8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23 393,1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23 423,9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23 423,9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23 423,9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140 628,8</w:t>
            </w:r>
            <w:r/>
          </w:p>
        </w:tc>
      </w:tr>
      <w:tr>
        <w:tblPrEx/>
        <w:trPr>
          <w:trHeight w:val="397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«Обеспечение деятельности МКУ «Единая дежурно-диспетчерская служба Белоярского района»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23 620,2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23 343,8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23 393,1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23 423,9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23 423,9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23 423,9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140 628,8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691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23 620,2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23 343,8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23 393,1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23 423,9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23 423,9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23 423,9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57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140 628,8</w:t>
            </w:r>
            <w:r/>
          </w:p>
        </w:tc>
      </w:tr>
    </w:tbl>
    <w:p>
      <w:pPr>
        <w:pStyle w:val="71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pStyle w:val="71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pStyle w:val="71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pStyle w:val="71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pStyle w:val="71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0"/>
        <w:jc w:val="right"/>
        <w:spacing w:after="0" w:line="240" w:lineRule="auto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3818255</wp:posOffset>
                </wp:positionH>
                <wp:positionV relativeFrom="paragraph">
                  <wp:posOffset>20955</wp:posOffset>
                </wp:positionV>
                <wp:extent cx="1609725" cy="9525"/>
                <wp:effectExtent l="0" t="0" r="0" b="0"/>
                <wp:wrapNone/>
                <wp:docPr id="3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1609724" cy="9525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2" o:spid="_x0000_s2" style="position:absolute;left:0;text-align:left;z-index:524288;mso-wrap-distance-left:9.00pt;mso-wrap-distance-top:0.00pt;mso-wrap-distance-right:9.00pt;mso-wrap-distance-bottom:0.00pt;flip:y;visibility:visible;" from="300.6pt,1.6pt" to="427.4pt,2.4pt" filled="f" strokecolor="#000000"/>
            </w:pict>
          </mc:Fallback>
        </mc:AlternateContent>
      </w:r>
      <w:r/>
    </w:p>
    <w:sectPr>
      <w:headerReference w:type="default" r:id="rId9"/>
      <w:headerReference w:type="first" r:id="rId10"/>
      <w:footnotePr/>
      <w:endnotePr/>
      <w:type w:val="nextPage"/>
      <w:pgSz w:w="16838" w:h="11906" w:orient="landscape"/>
      <w:pgMar w:top="1701" w:right="1134" w:bottom="850" w:left="1574" w:header="708" w:footer="708" w:gutter="0"/>
      <w:pgNumType w:start="2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_x0000_s20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12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4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r>
                        </w:p>
                        <w:p>
                          <w:pPr>
                            <w:pStyle w:val="700"/>
                          </w:pPr>
                          <w:r/>
                          <w:r/>
                        </w:p>
                      </w:txbxContent>
                    </wps:txbx>
                    <wps:bodyPr wrap="none" lIns="36000" tIns="36000" rIns="36000" bIns="3600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524288;o:allowoverlap:true;o:allowincell:true;mso-position-horizontal-relative:margin;mso-position-horizontal:center;mso-position-vertical-relative:text;margin-top:0.00pt;mso-position-vertical:absolute;width:144.00pt;height:144.00pt;mso-wrap-distance-left:9.00pt;mso-wrap-distance-top:0.00pt;mso-wrap-distance-right:9.00pt;mso-wrap-distance-bottom:0.00pt;visibility:visible;" filled="f" stroked="f" strokeweight="0.50pt">
              <v:textbox inset="0,0,0,0">
                <w:txbxContent>
                  <w:p>
                    <w:pPr>
                      <w:pStyle w:val="712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4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</w:r>
                  </w:p>
                  <w:p>
                    <w:pPr>
                      <w:pStyle w:val="70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rPr>
        <w:lang w:val="en-US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12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</w:r>
                          <w:r>
                            <w:rPr>
                              <w:rFonts w:ascii="Times New Roman" w:hAnsi="Times New Roman"/>
                            </w:rPr>
                          </w:r>
                        </w:p>
                        <w:p>
                          <w:pPr>
                            <w:pStyle w:val="700"/>
                          </w:pPr>
                          <w:r/>
                          <w:r/>
                        </w:p>
                      </w:txbxContent>
                    </wps:txbx>
                    <wps:bodyPr wrap="none" lIns="36000" tIns="36000" rIns="36000" bIns="3600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251658241;o:allowoverlap:true;o:allowincell:true;mso-position-horizontal-relative:margin;mso-position-horizontal:center;mso-position-vertical-relative:text;margin-top:0.00pt;mso-position-vertical:absolute;width:144.00pt;height:144.00pt;mso-wrap-distance-left:9.00pt;mso-wrap-distance-top:0.00pt;mso-wrap-distance-right:9.00pt;mso-wrap-distance-bottom:0.00pt;visibility:visible;" filled="f" stroked="f" strokeweight="0.50pt">
              <v:textbox inset="0,0,0,0">
                <w:txbxContent>
                  <w:p>
                    <w:pPr>
                      <w:pStyle w:val="712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</w:r>
                    <w:r>
                      <w:rPr>
                        <w:rFonts w:ascii="Times New Roman" w:hAnsi="Times New Roman"/>
                      </w:rPr>
                    </w:r>
                  </w:p>
                  <w:p>
                    <w:pPr>
                      <w:pStyle w:val="70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lang w:val="en-US"/>
      </w:rPr>
    </w:r>
    <w:r>
      <w:rPr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00"/>
    <w:next w:val="70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00"/>
    <w:next w:val="70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0"/>
    <w:next w:val="70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0"/>
    <w:next w:val="70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0"/>
    <w:next w:val="70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0"/>
    <w:next w:val="70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0"/>
    <w:next w:val="70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0"/>
    <w:next w:val="70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0"/>
    <w:next w:val="70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0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00"/>
    <w:next w:val="70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00"/>
    <w:next w:val="70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00"/>
    <w:next w:val="70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0"/>
    <w:next w:val="70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0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00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00"/>
    <w:next w:val="700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0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0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00"/>
    <w:next w:val="70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0"/>
    <w:next w:val="70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0"/>
    <w:next w:val="70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0"/>
    <w:next w:val="70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0"/>
    <w:next w:val="70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0"/>
    <w:next w:val="70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0"/>
    <w:next w:val="70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0"/>
    <w:next w:val="70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0"/>
    <w:next w:val="70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0"/>
    <w:next w:val="700"/>
    <w:uiPriority w:val="99"/>
    <w:unhideWhenUsed/>
    <w:pPr>
      <w:spacing w:after="0" w:afterAutospacing="0"/>
    </w:pPr>
  </w:style>
  <w:style w:type="paragraph" w:styleId="700" w:default="1">
    <w:name w:val="Normal"/>
    <w:next w:val="700"/>
    <w:link w:val="700"/>
    <w:qFormat/>
    <w:pPr>
      <w:spacing w:after="200" w:line="276" w:lineRule="auto"/>
    </w:pPr>
    <w:rPr>
      <w:rFonts w:ascii="Calibri" w:hAnsi="Calibri" w:eastAsia="Calibri"/>
      <w:sz w:val="22"/>
      <w:szCs w:val="22"/>
      <w:lang w:val="ru-RU" w:eastAsia="en-US" w:bidi="ar-SA"/>
    </w:rPr>
  </w:style>
  <w:style w:type="paragraph" w:styleId="701">
    <w:name w:val="Заголовок 1"/>
    <w:basedOn w:val="700"/>
    <w:next w:val="700"/>
    <w:link w:val="700"/>
    <w:qFormat/>
    <w:pPr>
      <w:jc w:val="center"/>
      <w:keepNext/>
      <w:outlineLvl w:val="0"/>
    </w:pPr>
    <w:rPr>
      <w:b/>
      <w:sz w:val="28"/>
    </w:rPr>
  </w:style>
  <w:style w:type="paragraph" w:styleId="702">
    <w:name w:val="Заголовок 2"/>
    <w:basedOn w:val="700"/>
    <w:next w:val="700"/>
    <w:link w:val="700"/>
    <w:qFormat/>
    <w:pPr>
      <w:jc w:val="center"/>
      <w:keepNext/>
      <w:outlineLvl w:val="1"/>
    </w:pPr>
    <w:rPr>
      <w:b/>
      <w:sz w:val="24"/>
    </w:rPr>
  </w:style>
  <w:style w:type="paragraph" w:styleId="703">
    <w:name w:val="Заголовок 3"/>
    <w:basedOn w:val="700"/>
    <w:next w:val="700"/>
    <w:link w:val="700"/>
    <w:qFormat/>
    <w:pPr>
      <w:jc w:val="center"/>
      <w:keepNext/>
      <w:outlineLvl w:val="2"/>
    </w:pPr>
    <w:rPr>
      <w:sz w:val="28"/>
    </w:rPr>
  </w:style>
  <w:style w:type="character" w:styleId="704">
    <w:name w:val="Основной шрифт абзаца"/>
    <w:next w:val="704"/>
    <w:link w:val="700"/>
    <w:uiPriority w:val="1"/>
    <w:semiHidden/>
    <w:unhideWhenUsed/>
  </w:style>
  <w:style w:type="table" w:styleId="705">
    <w:name w:val="Обычная таблица"/>
    <w:next w:val="705"/>
    <w:link w:val="700"/>
    <w:uiPriority w:val="99"/>
    <w:semiHidden/>
    <w:unhideWhenUsed/>
    <w:tblPr/>
  </w:style>
  <w:style w:type="numbering" w:styleId="706">
    <w:name w:val="Нет списка"/>
    <w:next w:val="706"/>
    <w:link w:val="700"/>
    <w:uiPriority w:val="99"/>
    <w:semiHidden/>
    <w:unhideWhenUsed/>
  </w:style>
  <w:style w:type="character" w:styleId="707">
    <w:name w:val="Знак сноски"/>
    <w:next w:val="707"/>
    <w:link w:val="700"/>
    <w:uiPriority w:val="99"/>
    <w:unhideWhenUsed/>
    <w:qFormat/>
    <w:rPr>
      <w:vertAlign w:val="superscript"/>
    </w:rPr>
  </w:style>
  <w:style w:type="paragraph" w:styleId="708">
    <w:name w:val="Текст выноски"/>
    <w:basedOn w:val="700"/>
    <w:next w:val="708"/>
    <w:link w:val="71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09">
    <w:name w:val="Основной текст с отступом 3"/>
    <w:basedOn w:val="700"/>
    <w:next w:val="709"/>
    <w:link w:val="700"/>
    <w:qFormat/>
    <w:pPr>
      <w:jc w:val="center"/>
    </w:pPr>
    <w:rPr>
      <w:sz w:val="24"/>
    </w:rPr>
  </w:style>
  <w:style w:type="paragraph" w:styleId="710">
    <w:name w:val="Текст концевой сноски"/>
    <w:basedOn w:val="700"/>
    <w:next w:val="710"/>
    <w:link w:val="716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711">
    <w:name w:val="Текст сноски"/>
    <w:basedOn w:val="700"/>
    <w:next w:val="711"/>
    <w:link w:val="717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712">
    <w:name w:val="Верхний колонтитул"/>
    <w:basedOn w:val="700"/>
    <w:next w:val="712"/>
    <w:link w:val="700"/>
    <w:uiPriority w:val="99"/>
    <w:unhideWhenUsed/>
    <w:pPr>
      <w:tabs>
        <w:tab w:val="center" w:pos="4153" w:leader="none"/>
        <w:tab w:val="right" w:pos="8306" w:leader="none"/>
      </w:tabs>
    </w:pPr>
  </w:style>
  <w:style w:type="paragraph" w:styleId="713">
    <w:name w:val="Нижний колонтитул"/>
    <w:basedOn w:val="700"/>
    <w:next w:val="713"/>
    <w:link w:val="700"/>
    <w:uiPriority w:val="99"/>
    <w:unhideWhenUsed/>
    <w:pPr>
      <w:tabs>
        <w:tab w:val="center" w:pos="4153" w:leader="none"/>
        <w:tab w:val="right" w:pos="8306" w:leader="none"/>
      </w:tabs>
    </w:pPr>
  </w:style>
  <w:style w:type="paragraph" w:styleId="714">
    <w:name w:val="ConsPlusNormal"/>
    <w:next w:val="714"/>
    <w:link w:val="700"/>
    <w:qFormat/>
    <w:pPr>
      <w:ind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715">
    <w:name w:val="ConsPlusNonformat"/>
    <w:next w:val="715"/>
    <w:link w:val="700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character" w:styleId="716">
    <w:name w:val="Текст концевой сноски Знак"/>
    <w:next w:val="716"/>
    <w:link w:val="710"/>
    <w:uiPriority w:val="99"/>
    <w:rPr>
      <w:rFonts w:ascii="Calibri" w:hAnsi="Calibri" w:eastAsia="Calibri" w:cs="Times New Roman"/>
      <w:sz w:val="20"/>
      <w:szCs w:val="20"/>
    </w:rPr>
  </w:style>
  <w:style w:type="character" w:styleId="717">
    <w:name w:val="Текст сноски Знак"/>
    <w:next w:val="717"/>
    <w:link w:val="711"/>
    <w:uiPriority w:val="99"/>
    <w:qFormat/>
    <w:rPr>
      <w:rFonts w:ascii="Calibri" w:hAnsi="Calibri" w:eastAsia="Calibri" w:cs="Times New Roman"/>
      <w:sz w:val="20"/>
      <w:szCs w:val="20"/>
    </w:rPr>
  </w:style>
  <w:style w:type="character" w:styleId="718">
    <w:name w:val="Текст выноски Знак"/>
    <w:next w:val="718"/>
    <w:link w:val="708"/>
    <w:uiPriority w:val="99"/>
    <w:semiHidden/>
    <w:rPr>
      <w:rFonts w:ascii="Tahoma" w:hAnsi="Tahoma" w:eastAsia="Calibri" w:cs="Tahoma"/>
      <w:sz w:val="16"/>
      <w:szCs w:val="16"/>
      <w:lang w:eastAsia="en-US"/>
    </w:rPr>
  </w:style>
  <w:style w:type="character" w:styleId="5811" w:default="1">
    <w:name w:val="Default Paragraph Font"/>
    <w:uiPriority w:val="1"/>
    <w:semiHidden/>
    <w:unhideWhenUsed/>
  </w:style>
  <w:style w:type="numbering" w:styleId="5812" w:default="1">
    <w:name w:val="No List"/>
    <w:uiPriority w:val="99"/>
    <w:semiHidden/>
    <w:unhideWhenUsed/>
  </w:style>
  <w:style w:type="table" w:styleId="581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Morgunova</dc:creator>
  <cp:lastModifiedBy>KononenkoOE</cp:lastModifiedBy>
  <cp:revision>3</cp:revision>
  <dcterms:created xsi:type="dcterms:W3CDTF">2025-06-24T11:13:00Z</dcterms:created>
  <dcterms:modified xsi:type="dcterms:W3CDTF">2025-10-24T10:34:35Z</dcterms:modified>
  <cp:version>917504</cp:version>
</cp:coreProperties>
</file>